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33BA2">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651C" w:rsidRPr="00F2503B">
              <w:rPr>
                <w:b/>
                <w:sz w:val="22"/>
                <w:szCs w:val="22"/>
                <w:lang w:val="it-IT" w:bidi="it-IT"/>
              </w:rPr>
              <w:t>3</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Procedura negoziata di importo inferiore alla soglia comunitaria, volta alla stipula di un</w:t>
            </w:r>
            <w:r w:rsidR="00533BA2">
              <w:rPr>
                <w:b/>
                <w:bCs/>
                <w:iCs/>
                <w:sz w:val="22"/>
                <w:szCs w:val="22"/>
                <w:lang w:val="it-IT" w:eastAsia="it-IT" w:bidi="it-IT"/>
              </w:rPr>
              <w:t xml:space="preserve">a Convenzione </w:t>
            </w:r>
            <w:r w:rsidRPr="00F2503B">
              <w:rPr>
                <w:b/>
                <w:bCs/>
                <w:iCs/>
                <w:sz w:val="22"/>
                <w:szCs w:val="22"/>
                <w:lang w:val="it-IT" w:eastAsia="it-IT" w:bidi="it-IT"/>
              </w:rPr>
              <w:t xml:space="preserve"> </w:t>
            </w:r>
            <w:r w:rsidR="00533BA2">
              <w:rPr>
                <w:b/>
                <w:bCs/>
                <w:iCs/>
                <w:sz w:val="22"/>
                <w:szCs w:val="22"/>
                <w:lang w:val="it-IT" w:eastAsia="it-IT" w:bidi="it-IT"/>
              </w:rPr>
              <w:t xml:space="preserve"> </w:t>
            </w:r>
            <w:r w:rsidRPr="00F2503B">
              <w:rPr>
                <w:b/>
                <w:bCs/>
                <w:iCs/>
                <w:sz w:val="22"/>
                <w:szCs w:val="22"/>
                <w:lang w:val="it-IT" w:eastAsia="it-IT" w:bidi="it-IT"/>
              </w:rPr>
              <w:t xml:space="preserve"> ai sensi degli artt. 36, comma 2, lett. b), e 54 del D.Lgs. 50/2016, </w:t>
            </w:r>
            <w:r w:rsidR="00533BA2">
              <w:rPr>
                <w:b/>
                <w:bCs/>
                <w:iCs/>
                <w:color w:val="FF0000"/>
                <w:sz w:val="22"/>
                <w:szCs w:val="22"/>
                <w:lang w:val="it-IT" w:eastAsia="it-IT" w:bidi="it-IT"/>
              </w:rPr>
              <w:t xml:space="preserve"> </w:t>
            </w:r>
            <w:r w:rsidRPr="00F2503B">
              <w:rPr>
                <w:b/>
                <w:bCs/>
                <w:iCs/>
                <w:sz w:val="22"/>
                <w:szCs w:val="22"/>
                <w:lang w:val="it-IT" w:eastAsia="it-IT" w:bidi="it-IT"/>
              </w:rPr>
              <w:t xml:space="preserve"> per l’affidamento del </w:t>
            </w:r>
            <w:r w:rsidRPr="00F2503B">
              <w:rPr>
                <w:b/>
                <w:bCs/>
                <w:i/>
                <w:iCs/>
                <w:sz w:val="22"/>
                <w:szCs w:val="22"/>
                <w:lang w:val="it-IT" w:eastAsia="it-IT" w:bidi="it-IT"/>
              </w:rPr>
              <w:t xml:space="preserve">“Servizio di cassa a favore </w:t>
            </w:r>
            <w:r w:rsidR="00533BA2">
              <w:rPr>
                <w:b/>
                <w:bCs/>
                <w:i/>
                <w:iCs/>
                <w:sz w:val="22"/>
                <w:szCs w:val="22"/>
                <w:lang w:val="it-IT" w:eastAsia="it-IT" w:bidi="it-IT"/>
              </w:rPr>
              <w:t>dell’IIS OLIVETTI</w:t>
            </w:r>
            <w:r w:rsidRPr="00F2503B">
              <w:rPr>
                <w:b/>
                <w:bCs/>
                <w:i/>
                <w:iCs/>
                <w:sz w:val="22"/>
                <w:szCs w:val="22"/>
                <w:lang w:val="it-IT" w:eastAsia="it-IT" w:bidi="it-IT"/>
              </w:rPr>
              <w:t>”</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533BA2">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bookmarkStart w:id="0" w:name="_GoBack"/>
      <w:r w:rsidR="00533BA2" w:rsidRPr="00533BA2">
        <w:rPr>
          <w:sz w:val="22"/>
          <w:szCs w:val="22"/>
          <w:lang w:val="it-IT"/>
        </w:rPr>
        <w:t>,</w:t>
      </w:r>
      <w:bookmarkEnd w:id="0"/>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D.Lgs.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33BA2"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533BA2"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della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Artt. 20 e 24 del D.Lgs.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D.Lgs.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w:t>
      </w:r>
      <w:r w:rsidRPr="00F2503B">
        <w:rPr>
          <w:i/>
          <w:sz w:val="22"/>
          <w:szCs w:val="22"/>
          <w:lang w:val="it-IT"/>
        </w:rPr>
        <w:lastRenderedPageBreak/>
        <w:t xml:space="preserve">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533BA2"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533BA2"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533BA2"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533BA2"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533BA2"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533BA2"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D.Lgs.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lastRenderedPageBreak/>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533BA2"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533BA2"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533BA2"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533BA2"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533BA2"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533BA2"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33BA2"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33BA2"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D.Lgs.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lastRenderedPageBreak/>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lastRenderedPageBreak/>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533BA2"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lastRenderedPageBreak/>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lastRenderedPageBreak/>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lastRenderedPageBreak/>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D.Lgs.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lastRenderedPageBreak/>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533BA2"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D.Lgs.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lastRenderedPageBreak/>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di possedere l’autorizzazione all’esercizio dell’attività bancaria ai sensi del D.Lgs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lastRenderedPageBreak/>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D.Lgs.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marchio di qualità ecologica dell’Unione europea (Ecolabel UE) ai sensi del regolamento (CE) n. 66/2010 del Parlamento europeo e del Consiglio, del 25 novembre 2009, in corso di validità, </w:t>
      </w:r>
      <w:r w:rsidRPr="00F2503B">
        <w:rPr>
          <w:sz w:val="22"/>
          <w:szCs w:val="22"/>
          <w:lang w:val="it-IT"/>
        </w:rPr>
        <w:lastRenderedPageBreak/>
        <w:t>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901FB2" w:rsidP="00101C58">
      <w:pPr>
        <w:numPr>
          <w:ilvl w:val="0"/>
          <w:numId w:val="30"/>
        </w:numPr>
        <w:tabs>
          <w:tab w:val="left" w:pos="426"/>
        </w:tabs>
        <w:spacing w:after="120"/>
        <w:ind w:left="426" w:hanging="426"/>
        <w:jc w:val="both"/>
        <w:rPr>
          <w:color w:val="000000"/>
          <w:sz w:val="22"/>
          <w:szCs w:val="22"/>
          <w:lang w:val="it-IT"/>
        </w:rPr>
      </w:pPr>
      <w:r w:rsidRPr="00F2503B">
        <w:rPr>
          <w:color w:val="000000"/>
          <w:sz w:val="22"/>
          <w:szCs w:val="22"/>
          <w:lang w:val="it-IT"/>
        </w:rPr>
        <w:t>[</w:t>
      </w:r>
      <w:r w:rsidRPr="00F2503B">
        <w:rPr>
          <w:i/>
          <w:sz w:val="22"/>
          <w:szCs w:val="22"/>
          <w:highlight w:val="yellow"/>
          <w:lang w:val="it-IT"/>
        </w:rPr>
        <w:t>solo in caso di procedure di importo pari o superiore a € 150.000,00</w:t>
      </w:r>
      <w:r w:rsidRPr="00F2503B">
        <w:rPr>
          <w:color w:val="000000"/>
          <w:sz w:val="22"/>
          <w:szCs w:val="22"/>
          <w:lang w:val="it-IT"/>
        </w:rPr>
        <w:t xml:space="preserve">] </w:t>
      </w:r>
      <w:r w:rsidR="00A621A0" w:rsidRPr="00F2503B">
        <w:rPr>
          <w:color w:val="000000"/>
          <w:sz w:val="22"/>
          <w:szCs w:val="22"/>
          <w:lang w:val="it-IT"/>
        </w:rPr>
        <w:t xml:space="preserve">che ha provveduto al pagamento del </w:t>
      </w:r>
      <w:r w:rsidR="00A621A0" w:rsidRPr="00F2503B">
        <w:rPr>
          <w:b/>
          <w:color w:val="000000"/>
          <w:sz w:val="22"/>
          <w:szCs w:val="22"/>
          <w:lang w:val="it-IT"/>
        </w:rPr>
        <w:t>contributo all’A.N.AC.</w:t>
      </w:r>
      <w:r w:rsidR="00A621A0" w:rsidRPr="00F2503B">
        <w:rPr>
          <w:color w:val="000000"/>
          <w:sz w:val="22"/>
          <w:szCs w:val="22"/>
          <w:lang w:val="it-IT"/>
        </w:rPr>
        <w:t>, nella misura e secondo le modalità stabilite nel</w:t>
      </w:r>
      <w:r w:rsidRPr="00F2503B">
        <w:rPr>
          <w:color w:val="000000"/>
          <w:sz w:val="22"/>
          <w:szCs w:val="22"/>
          <w:lang w:val="it-IT"/>
        </w:rPr>
        <w:t>la Lettera di Invito</w:t>
      </w:r>
      <w:r w:rsidR="00A621A0" w:rsidRPr="00F2503B">
        <w:rPr>
          <w:color w:val="000000"/>
          <w:sz w:val="22"/>
          <w:szCs w:val="22"/>
          <w:lang w:val="it-IT"/>
        </w:rPr>
        <w:t>, e che ha allegato la prova di tale pagamento nell’ambito della “Busta A – Documentazione Amministrativa”;</w:t>
      </w: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r w:rsidRPr="00F2503B">
        <w:rPr>
          <w:b/>
          <w:i/>
          <w:color w:val="000000"/>
          <w:sz w:val="22"/>
          <w:szCs w:val="22"/>
          <w:lang w:val="it-IT"/>
        </w:rPr>
        <w:t>PassOE</w:t>
      </w:r>
      <w:r w:rsidRPr="00F2503B">
        <w:rPr>
          <w:color w:val="000000"/>
          <w:sz w:val="22"/>
          <w:szCs w:val="22"/>
          <w:lang w:val="it-IT"/>
        </w:rPr>
        <w:t xml:space="preserve">” all’Autorità Nazionale AntiCorruzione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r w:rsidRPr="00F2503B">
        <w:rPr>
          <w:b/>
          <w:i/>
          <w:color w:val="000000"/>
          <w:sz w:val="22"/>
          <w:szCs w:val="22"/>
          <w:lang w:val="it-IT"/>
        </w:rPr>
        <w:t>PassOE</w:t>
      </w:r>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xml:space="preserve"> nell’ambito della “Busta A – Documentazione Amministrativa”, ma che si impegna a richiedere all’A.N.AC. il </w:t>
      </w:r>
      <w:r w:rsidRPr="00F2503B">
        <w:rPr>
          <w:i/>
          <w:color w:val="000000"/>
          <w:sz w:val="22"/>
          <w:szCs w:val="22"/>
          <w:lang w:val="it-IT"/>
        </w:rPr>
        <w:t>PassOE</w:t>
      </w:r>
      <w:r w:rsidRPr="00F2503B">
        <w:rPr>
          <w:color w:val="000000"/>
          <w:sz w:val="22"/>
          <w:szCs w:val="22"/>
          <w:lang w:val="it-IT"/>
        </w:rPr>
        <w:t xml:space="preserve"> nel termine assegnato, qualora </w:t>
      </w:r>
      <w:r w:rsidRPr="00F2503B">
        <w:rPr>
          <w:color w:val="000000"/>
          <w:sz w:val="22"/>
          <w:szCs w:val="22"/>
          <w:lang w:val="it-IT"/>
        </w:rPr>
        <w:lastRenderedPageBreak/>
        <w:t xml:space="preserve">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non è oggetto di provvedimenti di sospensione o interdittivi di cui all’art. 14 del D.Lgs.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ai sensi e per gli effetti del precedente D.Lgs.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lastRenderedPageBreak/>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spacing w:after="120"/>
        <w:ind w:left="360"/>
        <w:jc w:val="both"/>
        <w:rPr>
          <w:color w:val="FF0000"/>
          <w:sz w:val="22"/>
          <w:szCs w:val="22"/>
          <w:lang w:val="it-IT"/>
        </w:rPr>
      </w:pPr>
      <w:r w:rsidRPr="00F2503B">
        <w:rPr>
          <w:color w:val="FF0000"/>
          <w:sz w:val="22"/>
          <w:szCs w:val="22"/>
          <w:lang w:val="it-IT"/>
        </w:rPr>
        <w:t>Lotto […]</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D.Lgs.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D.Lgs.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D.Lgs.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D.Lgs.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lastRenderedPageBreak/>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D5" w:rsidRDefault="000B6ED5">
      <w:r>
        <w:separator/>
      </w:r>
    </w:p>
  </w:endnote>
  <w:endnote w:type="continuationSeparator" w:id="0">
    <w:p w:rsidR="000B6ED5" w:rsidRDefault="000B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2" w:rsidRDefault="00901FB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2" w:rsidRPr="001058CD" w:rsidRDefault="00901FB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33BA2">
      <w:rPr>
        <w:rStyle w:val="Numeropagina"/>
        <w:rFonts w:ascii="Verdana" w:hAnsi="Verdana"/>
        <w:noProof/>
        <w:sz w:val="16"/>
        <w:szCs w:val="16"/>
      </w:rPr>
      <w:t>3</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D5" w:rsidRDefault="000B6ED5">
      <w:r>
        <w:separator/>
      </w:r>
    </w:p>
  </w:footnote>
  <w:footnote w:type="continuationSeparator" w:id="0">
    <w:p w:rsidR="000B6ED5" w:rsidRDefault="000B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2" w:rsidRPr="002A6576" w:rsidRDefault="00901FB2" w:rsidP="00DB16C8">
    <w:pPr>
      <w:pStyle w:val="Intestazione"/>
      <w:jc w:val="center"/>
      <w:rPr>
        <w:i/>
        <w:sz w:val="16"/>
        <w:szCs w:val="16"/>
        <w:lang w:bidi="it-IT"/>
      </w:rPr>
    </w:pPr>
  </w:p>
  <w:p w:rsidR="00901FB2" w:rsidRPr="002A6576" w:rsidRDefault="00901FB2" w:rsidP="00310024">
    <w:pPr>
      <w:pStyle w:val="INPS052headint"/>
      <w:jc w:val="center"/>
      <w:rPr>
        <w:rFonts w:ascii="Times New Roman" w:hAnsi="Times New Roman"/>
        <w:i/>
      </w:rPr>
    </w:pPr>
    <w:r w:rsidRPr="002A6576">
      <w:rPr>
        <w:rFonts w:ascii="Times New Roman" w:eastAsia="Calibri" w:hAnsi="Times New Roman"/>
        <w:bCs w:val="0"/>
        <w:i/>
        <w:szCs w:val="20"/>
        <w:lang w:bidi="it-IT"/>
      </w:rPr>
      <w:t>Procedura negoziata di importo inferiore alla soglia comuni</w:t>
    </w:r>
    <w:r w:rsidR="00533BA2">
      <w:rPr>
        <w:rFonts w:ascii="Times New Roman" w:eastAsia="Calibri" w:hAnsi="Times New Roman"/>
        <w:bCs w:val="0"/>
        <w:i/>
        <w:szCs w:val="20"/>
        <w:lang w:bidi="it-IT"/>
      </w:rPr>
      <w:t xml:space="preserve">taria, volta alla stipula di una Convenzione </w:t>
    </w:r>
    <w:r w:rsidRPr="002A6576">
      <w:rPr>
        <w:rFonts w:ascii="Times New Roman" w:eastAsia="Calibri" w:hAnsi="Times New Roman"/>
        <w:bCs w:val="0"/>
        <w:i/>
        <w:szCs w:val="20"/>
        <w:lang w:bidi="it-IT"/>
      </w:rPr>
      <w:t xml:space="preserve">ai sensi degli artt. 36, comma 2, lett. b), e 54 del D.Lgs. 50/2016, </w:t>
    </w:r>
    <w:r w:rsidR="00533BA2">
      <w:rPr>
        <w:rFonts w:ascii="Times New Roman" w:eastAsia="Calibri" w:hAnsi="Times New Roman"/>
        <w:bCs w:val="0"/>
        <w:i/>
        <w:color w:val="FF0000"/>
        <w:szCs w:val="20"/>
        <w:lang w:bidi="it-IT"/>
      </w:rPr>
      <w:t xml:space="preserve"> </w:t>
    </w:r>
    <w:r w:rsidRPr="002A6576">
      <w:rPr>
        <w:rFonts w:ascii="Times New Roman" w:eastAsia="Calibri" w:hAnsi="Times New Roman"/>
        <w:bCs w:val="0"/>
        <w:i/>
        <w:szCs w:val="20"/>
        <w:lang w:bidi="it-IT"/>
      </w:rPr>
      <w:t xml:space="preserve"> per l’affidamento del “Servizio di cassa a favore </w:t>
    </w:r>
    <w:r w:rsidR="00533BA2">
      <w:rPr>
        <w:rFonts w:ascii="Times New Roman" w:eastAsia="Calibri" w:hAnsi="Times New Roman"/>
        <w:bCs w:val="0"/>
        <w:i/>
        <w:szCs w:val="20"/>
        <w:lang w:bidi="it-IT"/>
      </w:rPr>
      <w:t>dell’IIS OLIVETTI</w:t>
    </w:r>
    <w:r w:rsidRPr="002A6576">
      <w:rPr>
        <w:rFonts w:ascii="Times New Roman" w:eastAsia="Calibri" w:hAnsi="Times New Roman"/>
        <w:bCs w:val="0"/>
        <w:i/>
        <w:szCs w:val="20"/>
        <w:lang w:bidi="it-IT"/>
      </w:rPr>
      <w:t>”</w:t>
    </w:r>
  </w:p>
  <w:p w:rsidR="00901FB2" w:rsidRPr="00366CD3" w:rsidRDefault="00901FB2"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3BA2"/>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AB20-0D85-4AFF-AE3C-FF389B5D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8730</Words>
  <Characters>49763</Characters>
  <Application>Microsoft Office Word</Application>
  <DocSecurity>0</DocSecurity>
  <Lines>414</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58377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2019-02-07T14:29:00Z</dcterms:created>
  <dcterms:modified xsi:type="dcterms:W3CDTF">2019-02-07T14:29:00Z</dcterms:modified>
</cp:coreProperties>
</file>